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B9CF" w14:textId="09234C94" w:rsidR="002C53A1" w:rsidRDefault="002C53A1" w:rsidP="00CD5884">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Resolution for </w:t>
      </w:r>
      <w:r w:rsidR="005F3E37">
        <w:rPr>
          <w:rFonts w:ascii="Calibri" w:eastAsia="Times New Roman" w:hAnsi="Calibri" w:cs="Calibri"/>
          <w:b/>
          <w:bCs/>
          <w:sz w:val="28"/>
          <w:szCs w:val="28"/>
        </w:rPr>
        <w:t xml:space="preserve">Informational </w:t>
      </w:r>
      <w:r w:rsidR="001F6999">
        <w:rPr>
          <w:rFonts w:ascii="Calibri" w:eastAsia="Times New Roman" w:hAnsi="Calibri" w:cs="Calibri"/>
          <w:b/>
          <w:bCs/>
          <w:sz w:val="28"/>
          <w:szCs w:val="28"/>
        </w:rPr>
        <w:t>Briefing</w:t>
      </w:r>
      <w:bookmarkStart w:id="0" w:name="_GoBack"/>
      <w:bookmarkEnd w:id="0"/>
      <w:r w:rsidR="005F3E37">
        <w:rPr>
          <w:rFonts w:ascii="Calibri" w:eastAsia="Times New Roman" w:hAnsi="Calibri" w:cs="Calibri"/>
          <w:b/>
          <w:bCs/>
          <w:sz w:val="28"/>
          <w:szCs w:val="28"/>
        </w:rPr>
        <w:t xml:space="preserve"> by</w:t>
      </w:r>
      <w:r>
        <w:rPr>
          <w:rFonts w:ascii="Calibri" w:eastAsia="Times New Roman" w:hAnsi="Calibri" w:cs="Calibri"/>
          <w:b/>
          <w:bCs/>
          <w:sz w:val="28"/>
          <w:szCs w:val="28"/>
        </w:rPr>
        <w:t xml:space="preserve"> </w:t>
      </w:r>
      <w:r w:rsidR="005F3E37">
        <w:rPr>
          <w:rFonts w:ascii="Calibri" w:eastAsia="Times New Roman" w:hAnsi="Calibri" w:cs="Calibri"/>
          <w:b/>
          <w:bCs/>
          <w:sz w:val="28"/>
          <w:szCs w:val="28"/>
        </w:rPr>
        <w:t xml:space="preserve">the </w:t>
      </w:r>
      <w:r>
        <w:rPr>
          <w:rFonts w:ascii="Calibri" w:eastAsia="Times New Roman" w:hAnsi="Calibri" w:cs="Calibri"/>
          <w:b/>
          <w:bCs/>
          <w:sz w:val="28"/>
          <w:szCs w:val="28"/>
        </w:rPr>
        <w:t>Province III Synod on May 2, 2022</w:t>
      </w:r>
    </w:p>
    <w:p w14:paraId="595E32AF" w14:textId="4F8263A2" w:rsidR="002C53A1" w:rsidRPr="002C53A1" w:rsidRDefault="002C53A1" w:rsidP="00CD5884">
      <w:pPr>
        <w:spacing w:before="100" w:beforeAutospacing="1" w:after="100" w:afterAutospacing="1"/>
        <w:rPr>
          <w:rFonts w:ascii="Calibri" w:eastAsia="Times New Roman" w:hAnsi="Calibri" w:cs="Calibri"/>
          <w:bCs/>
          <w:sz w:val="28"/>
          <w:szCs w:val="28"/>
        </w:rPr>
      </w:pPr>
      <w:r>
        <w:rPr>
          <w:rFonts w:ascii="Calibri" w:eastAsia="Times New Roman" w:hAnsi="Calibri" w:cs="Calibri"/>
          <w:bCs/>
          <w:sz w:val="28"/>
          <w:szCs w:val="28"/>
        </w:rPr>
        <w:t>**********</w:t>
      </w:r>
    </w:p>
    <w:p w14:paraId="44854325" w14:textId="64C4F3E6"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4B44ED">
        <w:rPr>
          <w:rFonts w:ascii="Calibri" w:eastAsia="Times New Roman" w:hAnsi="Calibri" w:cs="Calibri"/>
          <w:b/>
          <w:bCs/>
          <w:sz w:val="28"/>
          <w:szCs w:val="28"/>
        </w:rPr>
        <w:t>D00</w:t>
      </w:r>
      <w:r w:rsidRPr="00A246F5">
        <w:rPr>
          <w:rFonts w:ascii="Calibri" w:eastAsia="Times New Roman" w:hAnsi="Calibri" w:cs="Calibri"/>
          <w:b/>
          <w:bCs/>
          <w:sz w:val="28"/>
          <w:szCs w:val="28"/>
        </w:rPr>
        <w:t>1</w:t>
      </w:r>
      <w:r w:rsidRPr="00A246F5">
        <w:rPr>
          <w:rFonts w:ascii="Calibri" w:eastAsia="Times New Roman" w:hAnsi="Calibri" w:cs="Calibri"/>
          <w:b/>
          <w:bCs/>
          <w:sz w:val="28"/>
          <w:szCs w:val="28"/>
        </w:rPr>
        <w:br/>
        <w:t xml:space="preserve">Resolution for Funding of </w:t>
      </w:r>
      <w:proofErr w:type="gramStart"/>
      <w:r w:rsidRPr="00A246F5">
        <w:rPr>
          <w:rFonts w:ascii="Calibri" w:eastAsia="Times New Roman" w:hAnsi="Calibri" w:cs="Calibri"/>
          <w:b/>
          <w:bCs/>
          <w:sz w:val="28"/>
          <w:szCs w:val="28"/>
        </w:rPr>
        <w:t>The</w:t>
      </w:r>
      <w:proofErr w:type="gramEnd"/>
      <w:r w:rsidRPr="00A246F5">
        <w:rPr>
          <w:rFonts w:ascii="Calibri" w:eastAsia="Times New Roman" w:hAnsi="Calibri" w:cs="Calibri"/>
          <w:b/>
          <w:bCs/>
          <w:sz w:val="28"/>
          <w:szCs w:val="28"/>
        </w:rPr>
        <w:t xml:space="preserve"> Chaplaincies at The HBCUs </w:t>
      </w:r>
      <w:r w:rsidRPr="00A246F5">
        <w:rPr>
          <w:rFonts w:ascii="Calibri" w:eastAsia="Times New Roman" w:hAnsi="Calibri" w:cs="Calibri"/>
          <w:sz w:val="28"/>
          <w:szCs w:val="28"/>
        </w:rPr>
        <w:t xml:space="preserve"> </w:t>
      </w:r>
    </w:p>
    <w:p w14:paraId="476DBC81"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the House ______________ concurring, That this 80th General Convention request that the Joint Standing Committee on Program, Budget and Finance allocate $300,000 from The Episcopal Church triennium budget appropriation for the funding of the Chaplaincies at Saint Augustine and Voorhees Colleges; and be it further </w:t>
      </w:r>
    </w:p>
    <w:p w14:paraId="57E58770"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such monies shall be divided evenly between the Chaplaincies of Saint Augustine and Voorhees College to be utilized exclusively to fund the ministries of the Chaplaincies, and other such activities that promote the purposes of this resolution; and be it further </w:t>
      </w:r>
    </w:p>
    <w:p w14:paraId="21925F8C" w14:textId="77777777" w:rsidR="00B92C58" w:rsidRDefault="00CD5884" w:rsidP="00B92C58">
      <w:pPr>
        <w:rPr>
          <w:rFonts w:ascii="Calibri" w:eastAsia="Times New Roman" w:hAnsi="Calibri" w:cs="Calibri"/>
          <w:sz w:val="28"/>
          <w:szCs w:val="28"/>
        </w:rPr>
      </w:pPr>
      <w:r w:rsidRPr="00A246F5">
        <w:rPr>
          <w:rFonts w:ascii="Calibri" w:eastAsia="Times New Roman" w:hAnsi="Calibri" w:cs="Calibri"/>
          <w:sz w:val="28"/>
          <w:szCs w:val="28"/>
        </w:rPr>
        <w:t xml:space="preserve">Resolved, That this General Convention directs, consistent with established policies and procedures, that The Executive Council shall direct that the appropriate offices of The TEC and their Officers with oversight of this allocation to the Chaplaincies and such offices and Officers shall report back to the General Convention in 2024 on the usage of the $300,000 allocation. </w:t>
      </w:r>
    </w:p>
    <w:p w14:paraId="42E625AA" w14:textId="77777777" w:rsidR="00B92C58" w:rsidRDefault="00B92C58" w:rsidP="00B92C58">
      <w:pPr>
        <w:rPr>
          <w:rFonts w:ascii="Calibri" w:eastAsia="Times New Roman" w:hAnsi="Calibri" w:cs="Calibri"/>
          <w:sz w:val="28"/>
          <w:szCs w:val="28"/>
        </w:rPr>
      </w:pPr>
    </w:p>
    <w:p w14:paraId="033713D1" w14:textId="07682F2A" w:rsidR="00B92C58" w:rsidRPr="00B92C58" w:rsidRDefault="00B92C58" w:rsidP="00B92C58">
      <w:pPr>
        <w:rPr>
          <w:rFonts w:ascii="Times New Roman" w:eastAsia="Times New Roman" w:hAnsi="Times New Roman" w:cs="Times New Roman"/>
        </w:rPr>
      </w:pPr>
      <w:r w:rsidRPr="00B92C58">
        <w:rPr>
          <w:rFonts w:ascii="Calibri" w:eastAsia="Times New Roman" w:hAnsi="Calibri" w:cs="Calibri"/>
          <w:color w:val="000000"/>
          <w:sz w:val="28"/>
          <w:szCs w:val="28"/>
          <w:shd w:val="clear" w:color="auto" w:fill="FFFFFF"/>
        </w:rPr>
        <w:t xml:space="preserve">Resolved, That the Joint Standing Commission on </w:t>
      </w:r>
      <w:proofErr w:type="gramStart"/>
      <w:r w:rsidRPr="00B92C58">
        <w:rPr>
          <w:rFonts w:ascii="Calibri" w:eastAsia="Times New Roman" w:hAnsi="Calibri" w:cs="Calibri"/>
          <w:color w:val="000000"/>
          <w:sz w:val="28"/>
          <w:szCs w:val="28"/>
          <w:shd w:val="clear" w:color="auto" w:fill="FFFFFF"/>
        </w:rPr>
        <w:t>Program  Budget</w:t>
      </w:r>
      <w:proofErr w:type="gramEnd"/>
      <w:r w:rsidRPr="00B92C58">
        <w:rPr>
          <w:rFonts w:ascii="Calibri" w:eastAsia="Times New Roman" w:hAnsi="Calibri" w:cs="Calibri"/>
          <w:color w:val="000000"/>
          <w:sz w:val="28"/>
          <w:szCs w:val="28"/>
          <w:shd w:val="clear" w:color="auto" w:fill="FFFFFF"/>
        </w:rPr>
        <w:t xml:space="preserve"> and Finance consider a budget allocation of $300,000 for the implementation of this resolution.</w:t>
      </w:r>
    </w:p>
    <w:p w14:paraId="1B89C714" w14:textId="72FFE86D" w:rsidR="00CD5884" w:rsidRPr="00A246F5" w:rsidRDefault="00CD5884" w:rsidP="00CD5884">
      <w:pPr>
        <w:spacing w:before="100" w:beforeAutospacing="1" w:after="100" w:afterAutospacing="1"/>
        <w:rPr>
          <w:rFonts w:ascii="Times New Roman" w:eastAsia="Times New Roman" w:hAnsi="Times New Roman" w:cs="Times New Roman"/>
        </w:rPr>
      </w:pPr>
    </w:p>
    <w:p w14:paraId="0FA7199E"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188E8397"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There is a long relationship between both Saint Augustine’s University and Voorhees College and The Episcopal Church, a partnership that endures today. </w:t>
      </w:r>
    </w:p>
    <w:p w14:paraId="2E5AEC62"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As each HBCU moved into the new millennium, it renewed its historical partnership with The Episcopal Church. The Church alone cannot fulfill the commission without the help of Christian institutions of learning. Conversely, Saint Augustine University and Voorhees College cannot, without the help of the</w:t>
      </w:r>
      <w:r>
        <w:rPr>
          <w:rFonts w:ascii="Times New Roman" w:eastAsia="Times New Roman" w:hAnsi="Times New Roman" w:cs="Times New Roman"/>
        </w:rPr>
        <w:t xml:space="preserve"> </w:t>
      </w:r>
      <w:r w:rsidRPr="00A246F5">
        <w:rPr>
          <w:rFonts w:ascii="Calibri" w:eastAsia="Times New Roman" w:hAnsi="Calibri" w:cs="Calibri"/>
          <w:sz w:val="28"/>
          <w:szCs w:val="28"/>
        </w:rPr>
        <w:lastRenderedPageBreak/>
        <w:t xml:space="preserve">Church, provide effective teaching and learning that helps its learners to proclaim that the Rule of God is at hand, to select careers that nourish people for the riches of His grace and to Glorify God in this life and in the life to come. </w:t>
      </w:r>
    </w:p>
    <w:p w14:paraId="712B2BBD"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It is no secret that two remaining Episcopal Related HBCUs have been through a rocky time financially over the last few years. However, through effective oversight and working with The Episcopal Church, Executive Council Committee on HBCU these HBCUs have staged a remarkable turnaround -in their financial management. However, the Chaplaincies are still in need of dire financial assistance to continue to serve their core mission. The Chaplains of these two HBCU</w:t>
      </w:r>
      <w:r>
        <w:rPr>
          <w:rFonts w:ascii="Calibri" w:eastAsia="Times New Roman" w:hAnsi="Calibri" w:cs="Calibri"/>
          <w:sz w:val="28"/>
          <w:szCs w:val="28"/>
        </w:rPr>
        <w:t>s</w:t>
      </w:r>
      <w:r w:rsidRPr="00A246F5">
        <w:rPr>
          <w:rFonts w:ascii="Calibri" w:eastAsia="Times New Roman" w:hAnsi="Calibri" w:cs="Calibri"/>
          <w:sz w:val="28"/>
          <w:szCs w:val="28"/>
        </w:rPr>
        <w:t xml:space="preserve"> are not afforded clergy pension contributions from their respective institutions and are not supported for participation in The Episcopal Church Medical Trust. Budget appropriations support by this resolution will provide for General Convention mandated clergy participation in The Episcopal Church pension fund and medical trust plans. </w:t>
      </w:r>
    </w:p>
    <w:p w14:paraId="2039DE15"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Each of the Chaplaincies strives to be a welcoming and safe place for their students and the community. Services of Holy Eucharist are held on Sundays during the academic year, where visitors hear the Word of God and partake of the sacraments. </w:t>
      </w:r>
    </w:p>
    <w:p w14:paraId="67099F2C" w14:textId="77777777"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As Episcopal Chaplaincies, each recognizes that students bring the gifts of a diversity of beliefs, experiences and talents, and they treasure this diversity. Each strives to be an inclusive and welcoming community, embracing a diversity of cultures and united through the unconditional love of Jesus Christ. The university chapel programs and religious life at Saint Augustine’s University and Voorhees College are both places to study, pray, and worship together, deepening their student’s faith so that they may be transforming agents sent forth to serve God in the world. </w:t>
      </w:r>
    </w:p>
    <w:p w14:paraId="772C4920" w14:textId="77777777" w:rsidR="00CD5884" w:rsidRDefault="00CD5884" w:rsidP="00CD5884">
      <w:pPr>
        <w:rPr>
          <w:rFonts w:ascii="Times New Roman" w:eastAsia="Times New Roman" w:hAnsi="Times New Roman" w:cs="Times New Roman"/>
        </w:rPr>
      </w:pPr>
    </w:p>
    <w:p w14:paraId="78FE5146" w14:textId="77777777" w:rsidR="00CD5884" w:rsidRDefault="00CD5884" w:rsidP="00CD5884">
      <w:pPr>
        <w:rPr>
          <w:rFonts w:ascii="Times New Roman" w:eastAsia="Times New Roman" w:hAnsi="Times New Roman" w:cs="Times New Roman"/>
        </w:rPr>
      </w:pPr>
    </w:p>
    <w:p w14:paraId="4F80E5FC" w14:textId="77777777" w:rsidR="00CD5884" w:rsidRDefault="00CD5884" w:rsidP="00CD5884">
      <w:pPr>
        <w:rPr>
          <w:rFonts w:ascii="Times New Roman" w:eastAsia="Times New Roman" w:hAnsi="Times New Roman" w:cs="Times New Roman"/>
        </w:rPr>
      </w:pPr>
    </w:p>
    <w:p w14:paraId="1F03E29E" w14:textId="77777777" w:rsidR="00CD5884" w:rsidRDefault="00CD5884" w:rsidP="00CD5884">
      <w:pPr>
        <w:rPr>
          <w:rFonts w:ascii="Times New Roman" w:eastAsia="Times New Roman" w:hAnsi="Times New Roman" w:cs="Times New Roman"/>
        </w:rPr>
      </w:pPr>
    </w:p>
    <w:p w14:paraId="73199AB7" w14:textId="77777777" w:rsidR="00CD5884" w:rsidRDefault="00CD5884" w:rsidP="00CD5884">
      <w:pPr>
        <w:rPr>
          <w:rFonts w:ascii="Times New Roman" w:eastAsia="Times New Roman" w:hAnsi="Times New Roman" w:cs="Times New Roman"/>
        </w:rPr>
      </w:pPr>
    </w:p>
    <w:p w14:paraId="38515E16" w14:textId="77777777" w:rsidR="00CD5884" w:rsidRDefault="00CD5884" w:rsidP="00CD5884">
      <w:pPr>
        <w:rPr>
          <w:rFonts w:ascii="Times New Roman" w:eastAsia="Times New Roman" w:hAnsi="Times New Roman" w:cs="Times New Roman"/>
        </w:rPr>
      </w:pPr>
    </w:p>
    <w:p w14:paraId="2493325C" w14:textId="77777777" w:rsidR="00CD5884" w:rsidRDefault="00CD5884" w:rsidP="00CD5884">
      <w:pPr>
        <w:rPr>
          <w:rFonts w:ascii="Times New Roman" w:eastAsia="Times New Roman" w:hAnsi="Times New Roman" w:cs="Times New Roman"/>
        </w:rPr>
      </w:pPr>
    </w:p>
    <w:p w14:paraId="3DFFA806" w14:textId="77777777" w:rsidR="00CD5884" w:rsidRDefault="00CD5884" w:rsidP="00CD5884">
      <w:pPr>
        <w:rPr>
          <w:rFonts w:ascii="Times New Roman" w:eastAsia="Times New Roman" w:hAnsi="Times New Roman" w:cs="Times New Roman"/>
        </w:rPr>
      </w:pPr>
    </w:p>
    <w:p w14:paraId="13DDB54A" w14:textId="77777777" w:rsidR="00CD5884" w:rsidRDefault="00CD5884" w:rsidP="00CD5884">
      <w:pPr>
        <w:rPr>
          <w:rFonts w:ascii="Times New Roman" w:eastAsia="Times New Roman" w:hAnsi="Times New Roman" w:cs="Times New Roman"/>
        </w:rPr>
      </w:pPr>
    </w:p>
    <w:p w14:paraId="3B8099D2" w14:textId="77777777" w:rsidR="00CD5884" w:rsidRDefault="00CD5884" w:rsidP="00CD5884">
      <w:pPr>
        <w:rPr>
          <w:rFonts w:ascii="Times New Roman" w:eastAsia="Times New Roman" w:hAnsi="Times New Roman" w:cs="Times New Roman"/>
        </w:rPr>
      </w:pPr>
    </w:p>
    <w:p w14:paraId="4F99E122" w14:textId="77777777" w:rsidR="00CD5884" w:rsidRDefault="00CD5884" w:rsidP="00CD5884">
      <w:pPr>
        <w:rPr>
          <w:rFonts w:ascii="Times New Roman" w:eastAsia="Times New Roman" w:hAnsi="Times New Roman" w:cs="Times New Roman"/>
        </w:rPr>
      </w:pPr>
    </w:p>
    <w:p w14:paraId="5D5EB901" w14:textId="77777777" w:rsidR="00CD5884" w:rsidRDefault="00CD5884" w:rsidP="00CD5884">
      <w:pPr>
        <w:rPr>
          <w:rFonts w:ascii="Times New Roman" w:eastAsia="Times New Roman" w:hAnsi="Times New Roman" w:cs="Times New Roman"/>
        </w:rPr>
      </w:pPr>
    </w:p>
    <w:p w14:paraId="15EC4B89" w14:textId="77777777" w:rsidR="00CD5884" w:rsidRDefault="00CD5884" w:rsidP="00CD5884">
      <w:pPr>
        <w:rPr>
          <w:rFonts w:ascii="Times New Roman" w:eastAsia="Times New Roman" w:hAnsi="Times New Roman" w:cs="Times New Roman"/>
        </w:rPr>
      </w:pPr>
    </w:p>
    <w:p w14:paraId="77E2BF17" w14:textId="77777777" w:rsidR="0086021C" w:rsidRDefault="001F6999"/>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84"/>
    <w:rsid w:val="001F6999"/>
    <w:rsid w:val="002C53A1"/>
    <w:rsid w:val="004B44ED"/>
    <w:rsid w:val="005A23D7"/>
    <w:rsid w:val="005F3E37"/>
    <w:rsid w:val="00684FC0"/>
    <w:rsid w:val="009A1961"/>
    <w:rsid w:val="00B92C58"/>
    <w:rsid w:val="00CD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4</cp:revision>
  <dcterms:created xsi:type="dcterms:W3CDTF">2022-03-07T22:15:00Z</dcterms:created>
  <dcterms:modified xsi:type="dcterms:W3CDTF">2022-04-05T22:48:00Z</dcterms:modified>
</cp:coreProperties>
</file>