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6EB" w14:textId="68853EC1" w:rsidR="005F1393" w:rsidRDefault="005F1393" w:rsidP="005F1393">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C4359C">
        <w:rPr>
          <w:rFonts w:ascii="Calibri" w:eastAsia="Times New Roman" w:hAnsi="Calibri" w:cs="Calibri"/>
          <w:b/>
          <w:bCs/>
          <w:sz w:val="28"/>
          <w:szCs w:val="28"/>
        </w:rPr>
        <w:t xml:space="preserve">Informational </w:t>
      </w:r>
      <w:r w:rsidR="00BE07D3">
        <w:rPr>
          <w:rFonts w:ascii="Calibri" w:eastAsia="Times New Roman" w:hAnsi="Calibri" w:cs="Calibri"/>
          <w:b/>
          <w:bCs/>
          <w:sz w:val="28"/>
          <w:szCs w:val="28"/>
        </w:rPr>
        <w:t>Briefing</w:t>
      </w:r>
      <w:bookmarkStart w:id="0" w:name="_GoBack"/>
      <w:bookmarkEnd w:id="0"/>
      <w:r w:rsidR="00C4359C">
        <w:rPr>
          <w:rFonts w:ascii="Calibri" w:eastAsia="Times New Roman" w:hAnsi="Calibri" w:cs="Calibri"/>
          <w:b/>
          <w:bCs/>
          <w:sz w:val="28"/>
          <w:szCs w:val="28"/>
        </w:rPr>
        <w:t xml:space="preserve"> by </w:t>
      </w:r>
      <w:r>
        <w:rPr>
          <w:rFonts w:ascii="Calibri" w:eastAsia="Times New Roman" w:hAnsi="Calibri" w:cs="Calibri"/>
          <w:b/>
          <w:bCs/>
          <w:sz w:val="28"/>
          <w:szCs w:val="28"/>
        </w:rPr>
        <w:t>the Province III Synod on May 2, 2022</w:t>
      </w:r>
    </w:p>
    <w:p w14:paraId="7F695AA1" w14:textId="77777777" w:rsidR="005F1393" w:rsidRPr="002C53A1" w:rsidRDefault="005F1393" w:rsidP="005F1393">
      <w:pPr>
        <w:spacing w:before="100" w:beforeAutospacing="1" w:after="100" w:afterAutospacing="1"/>
        <w:rPr>
          <w:rFonts w:ascii="Calibri" w:eastAsia="Times New Roman" w:hAnsi="Calibri" w:cs="Calibri"/>
          <w:bCs/>
          <w:sz w:val="28"/>
          <w:szCs w:val="28"/>
        </w:rPr>
      </w:pPr>
      <w:r>
        <w:rPr>
          <w:rFonts w:ascii="Calibri" w:eastAsia="Times New Roman" w:hAnsi="Calibri" w:cs="Calibri"/>
          <w:bCs/>
          <w:sz w:val="28"/>
          <w:szCs w:val="28"/>
        </w:rPr>
        <w:t>**********</w:t>
      </w:r>
    </w:p>
    <w:p w14:paraId="1DA9ECE7" w14:textId="179DE8AD"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C5748C">
        <w:rPr>
          <w:rFonts w:ascii="Calibri" w:eastAsia="Times New Roman" w:hAnsi="Calibri" w:cs="Calibri"/>
          <w:b/>
          <w:bCs/>
          <w:sz w:val="28"/>
          <w:szCs w:val="28"/>
        </w:rPr>
        <w:t>D00</w:t>
      </w:r>
      <w:r w:rsidRPr="00A246F5">
        <w:rPr>
          <w:rFonts w:ascii="Calibri" w:eastAsia="Times New Roman" w:hAnsi="Calibri" w:cs="Calibri"/>
          <w:b/>
          <w:bCs/>
          <w:sz w:val="28"/>
          <w:szCs w:val="28"/>
        </w:rPr>
        <w:t>2</w:t>
      </w:r>
      <w:r w:rsidRPr="00A246F5">
        <w:rPr>
          <w:rFonts w:ascii="Calibri" w:eastAsia="Times New Roman" w:hAnsi="Calibri" w:cs="Calibri"/>
          <w:b/>
          <w:bCs/>
          <w:sz w:val="28"/>
          <w:szCs w:val="28"/>
        </w:rPr>
        <w:br/>
        <w:t xml:space="preserve">A Resolution to promote equity and to </w:t>
      </w:r>
      <w:proofErr w:type="gramStart"/>
      <w:r w:rsidRPr="00A246F5">
        <w:rPr>
          <w:rFonts w:ascii="Calibri" w:eastAsia="Times New Roman" w:hAnsi="Calibri" w:cs="Calibri"/>
          <w:b/>
          <w:bCs/>
          <w:sz w:val="28"/>
          <w:szCs w:val="28"/>
        </w:rPr>
        <w:t>Reduce</w:t>
      </w:r>
      <w:proofErr w:type="gramEnd"/>
      <w:r w:rsidRPr="00A246F5">
        <w:rPr>
          <w:rFonts w:ascii="Calibri" w:eastAsia="Times New Roman" w:hAnsi="Calibri" w:cs="Calibri"/>
          <w:b/>
          <w:bCs/>
          <w:sz w:val="28"/>
          <w:szCs w:val="28"/>
        </w:rPr>
        <w:t xml:space="preserve"> differences in Health Outcomes </w:t>
      </w:r>
    </w:p>
    <w:p w14:paraId="1AF21A6F" w14:textId="127D3A03"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Resolved, the House of __________________ concurring, that this 80</w:t>
      </w:r>
      <w:proofErr w:type="spellStart"/>
      <w:r w:rsidRPr="00A246F5">
        <w:rPr>
          <w:rFonts w:ascii="Calibri" w:eastAsia="Times New Roman" w:hAnsi="Calibri" w:cs="Calibri"/>
          <w:position w:val="10"/>
          <w:sz w:val="18"/>
          <w:szCs w:val="18"/>
        </w:rPr>
        <w:t>th</w:t>
      </w:r>
      <w:proofErr w:type="spellEnd"/>
      <w:r w:rsidRPr="00A246F5">
        <w:rPr>
          <w:rFonts w:ascii="Calibri" w:eastAsia="Times New Roman" w:hAnsi="Calibri" w:cs="Calibri"/>
          <w:position w:val="10"/>
          <w:sz w:val="18"/>
          <w:szCs w:val="18"/>
        </w:rPr>
        <w:t xml:space="preserve"> </w:t>
      </w:r>
      <w:r w:rsidRPr="00A246F5">
        <w:rPr>
          <w:rFonts w:ascii="Calibri" w:eastAsia="Times New Roman" w:hAnsi="Calibri" w:cs="Calibri"/>
          <w:sz w:val="28"/>
          <w:szCs w:val="28"/>
        </w:rPr>
        <w:t xml:space="preserve">General Convention of The Episcopal Church hereby direct and encourage that Congress adopt the following package of policies that would serve to promote equity and to reduce differences in health outcomes: address implicit bias and unconscious bias; address data challenges; address Social Determinants Of Health; and invest in professional diversity; and be it further </w:t>
      </w:r>
    </w:p>
    <w:p w14:paraId="54ECD6DC" w14:textId="3A647A74"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Resolved, that this 80</w:t>
      </w:r>
      <w:proofErr w:type="spellStart"/>
      <w:r w:rsidRPr="00A246F5">
        <w:rPr>
          <w:rFonts w:ascii="Calibri" w:eastAsia="Times New Roman" w:hAnsi="Calibri" w:cs="Calibri"/>
          <w:position w:val="10"/>
          <w:sz w:val="18"/>
          <w:szCs w:val="18"/>
        </w:rPr>
        <w:t>th</w:t>
      </w:r>
      <w:proofErr w:type="spellEnd"/>
      <w:r w:rsidRPr="00A246F5">
        <w:rPr>
          <w:rFonts w:ascii="Calibri" w:eastAsia="Times New Roman" w:hAnsi="Calibri" w:cs="Calibri"/>
          <w:position w:val="10"/>
          <w:sz w:val="18"/>
          <w:szCs w:val="18"/>
        </w:rPr>
        <w:t xml:space="preserve"> </w:t>
      </w:r>
      <w:r w:rsidRPr="00A246F5">
        <w:rPr>
          <w:rFonts w:ascii="Calibri" w:eastAsia="Times New Roman" w:hAnsi="Calibri" w:cs="Calibri"/>
          <w:sz w:val="28"/>
          <w:szCs w:val="28"/>
        </w:rPr>
        <w:t xml:space="preserve">General Convention direct, consistent with established policies and procedures, that the Executive Council refer this Resolution to the Office of Government Relations, so that it may take all actions necessary to accomplish the intentions and purposes of this Resolution. </w:t>
      </w:r>
    </w:p>
    <w:p w14:paraId="1CFB9B27"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7B7BE9DA"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The need for the nation to move forward on improving health equity is demonstrated by the disproportionate impact certain diseases has had on racial and ethnic minoritized communities.</w:t>
      </w:r>
      <w:r w:rsidRPr="00A246F5">
        <w:rPr>
          <w:rFonts w:ascii="Calibri" w:eastAsia="Times New Roman" w:hAnsi="Calibri" w:cs="Calibri"/>
          <w:sz w:val="28"/>
          <w:szCs w:val="28"/>
        </w:rPr>
        <w:br/>
        <w:t>.</w:t>
      </w:r>
      <w:r w:rsidRPr="00A246F5">
        <w:rPr>
          <w:rFonts w:ascii="Calibri" w:eastAsia="Times New Roman" w:hAnsi="Calibri" w:cs="Calibri"/>
          <w:sz w:val="28"/>
          <w:szCs w:val="28"/>
        </w:rPr>
        <w:br/>
        <w:t xml:space="preserve">“The COVID-19 pandemic has revealed starkly the disproportionate impact of the virus on communities of color,” the AMA told the U.S. House Ways and Means Committee. “The causes of the disproportionate impact are rooted in this country’s historical and structural racism and the social, economic, and health inequities that have resulted, and continue to result in, adverse health outcomes.” </w:t>
      </w:r>
    </w:p>
    <w:p w14:paraId="5BC7435C"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While data is incomplete as of this writing: </w:t>
      </w:r>
    </w:p>
    <w:p w14:paraId="0670014F" w14:textId="77777777" w:rsidR="004A2E32" w:rsidRPr="00A246F5" w:rsidRDefault="004A2E32" w:rsidP="004A2E32">
      <w:pPr>
        <w:numPr>
          <w:ilvl w:val="0"/>
          <w:numId w:val="1"/>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t xml:space="preserve">Black Americans are dying at nearly two times their national population share, and in five out of the six counties with the highest COVID-19 death rates, they are the largest racial group, according to the COVID Racial Data Tracker. </w:t>
      </w:r>
    </w:p>
    <w:p w14:paraId="11EEE1DC" w14:textId="77777777" w:rsidR="004A2E32" w:rsidRPr="00A246F5" w:rsidRDefault="004A2E32" w:rsidP="004A2E32">
      <w:pPr>
        <w:numPr>
          <w:ilvl w:val="0"/>
          <w:numId w:val="1"/>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lastRenderedPageBreak/>
        <w:t xml:space="preserve">The Latinx community accounts for 49% of Virginia’s COVID-19 cases where ethnicity is known despite accounting for only 10% of the state’s population. Similarly, in Iowa and Wisconsin, the COVID-19 infection rate for Latinx individuals is five times their population share. </w:t>
      </w:r>
    </w:p>
    <w:p w14:paraId="145B6434" w14:textId="77777777" w:rsidR="004A2E32" w:rsidRPr="00A246F5" w:rsidRDefault="004A2E32" w:rsidP="004A2E32">
      <w:pPr>
        <w:numPr>
          <w:ilvl w:val="0"/>
          <w:numId w:val="1"/>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t xml:space="preserve">American Indian/Alaska Natives are also disproportionately affected, and American Indians account for 60% of COVID-19 cases in New Mexico where they are only 9% of the state’s population, and 21% of COVID-19 deaths in Arizona where they are just 4% of the population. </w:t>
      </w:r>
    </w:p>
    <w:p w14:paraId="111FE9F9" w14:textId="77777777" w:rsidR="004A2E32" w:rsidRPr="00A246F5" w:rsidRDefault="004A2E32" w:rsidP="004A2E32">
      <w:pPr>
        <w:spacing w:before="100" w:beforeAutospacing="1" w:after="100" w:afterAutospacing="1"/>
        <w:ind w:left="720"/>
        <w:rPr>
          <w:rFonts w:ascii="SymbolMT" w:eastAsia="Times New Roman" w:hAnsi="SymbolMT" w:cs="Times New Roman"/>
          <w:sz w:val="20"/>
          <w:szCs w:val="20"/>
        </w:rPr>
      </w:pPr>
      <w:r w:rsidRPr="00A246F5">
        <w:rPr>
          <w:rFonts w:ascii="Calibri" w:eastAsia="Times New Roman" w:hAnsi="Calibri" w:cs="Calibri"/>
          <w:sz w:val="28"/>
          <w:szCs w:val="28"/>
        </w:rPr>
        <w:t xml:space="preserve">The testimony cites three key factors why Communities of color are at higher risk for COVID-19: </w:t>
      </w:r>
    </w:p>
    <w:p w14:paraId="105FA916" w14:textId="77777777" w:rsidR="004A2E32" w:rsidRPr="00A246F5" w:rsidRDefault="004A2E32" w:rsidP="004A2E32">
      <w:pPr>
        <w:numPr>
          <w:ilvl w:val="0"/>
          <w:numId w:val="2"/>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t xml:space="preserve">Structural inequities and social determinants of health (SDOH) that are influenced by bias and racial discrimination. Essential non-health care jobs, such as bus drivers, train operators and custodians, are overrepresented by communities of color. </w:t>
      </w:r>
    </w:p>
    <w:p w14:paraId="40E66A3D" w14:textId="77777777" w:rsidR="004A2E32" w:rsidRPr="00A246F5" w:rsidRDefault="004A2E32" w:rsidP="004A2E32">
      <w:pPr>
        <w:numPr>
          <w:ilvl w:val="0"/>
          <w:numId w:val="2"/>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t xml:space="preserve">Pre-existing conditions, such as diabetes, hypertension and obesity are disproportionately higher among African Americans, in large part due to generations of food insecurity, lack of access to comprehensive medical care, and lack of access to safe green spaces for exercise and play. </w:t>
      </w:r>
    </w:p>
    <w:p w14:paraId="6286774E" w14:textId="77777777" w:rsidR="004A2E32" w:rsidRPr="004A6FE5" w:rsidRDefault="004A2E32" w:rsidP="004A2E32">
      <w:pPr>
        <w:numPr>
          <w:ilvl w:val="0"/>
          <w:numId w:val="2"/>
        </w:numPr>
        <w:spacing w:before="100" w:beforeAutospacing="1" w:after="100" w:afterAutospacing="1"/>
        <w:rPr>
          <w:rFonts w:ascii="SymbolMT" w:eastAsia="Times New Roman" w:hAnsi="SymbolMT" w:cs="Times New Roman"/>
          <w:sz w:val="20"/>
          <w:szCs w:val="20"/>
        </w:rPr>
      </w:pPr>
      <w:r w:rsidRPr="00A246F5">
        <w:rPr>
          <w:rFonts w:ascii="Calibri" w:eastAsia="Times New Roman" w:hAnsi="Calibri" w:cs="Calibri"/>
          <w:sz w:val="28"/>
          <w:szCs w:val="28"/>
        </w:rPr>
        <w:t xml:space="preserve">“Additional SDOH considerations have also contributed to the disproportionate impact of COVID-19 on marginalized and minoritized communities, including poverty, lack of access to health care, nutritious food, affordable housing, and accessible transportation, as well as congregate living with multi-generational family members and the fact that many people of color work ‘essential’ jobs that increase their exposure to the virus, such as in meatpacking plants, warehouses, supermarkets, hospitals, and nursing homes,” states the AMA testimony. </w:t>
      </w:r>
    </w:p>
    <w:p w14:paraId="5B9BE0AC"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More than 28% of people diagnosed with COVID-19 in the U.S. are Hispanic, but the effect of COVID-19 on this community has not been widely addressed, the testimony states, quoting Aletha Maybank, MD, MPH, chief health equity officer and group vice president of the AMA. </w:t>
      </w:r>
    </w:p>
    <w:p w14:paraId="06071190"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Citing the World Health Organization, the AMA told Congress that avoidable health inequities are produced and do not have to exist. </w:t>
      </w:r>
    </w:p>
    <w:p w14:paraId="58396414"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lastRenderedPageBreak/>
        <w:t>To promote equity and to reduce differences in health outcomes, Congress should adopt the following policies:</w:t>
      </w:r>
      <w:r w:rsidRPr="00A246F5">
        <w:rPr>
          <w:rFonts w:ascii="Calibri" w:eastAsia="Times New Roman" w:hAnsi="Calibri" w:cs="Calibri"/>
          <w:sz w:val="28"/>
          <w:szCs w:val="28"/>
        </w:rPr>
        <w:br/>
        <w:t xml:space="preserve">Address implicit bias and unconscious bias. These biases are learned stereotypes that are automatic, unintentional, deeply engrained, universal, and able to influence behavior. Demonstrated impacts of these biases include disproportionate mortality among pregnant Black women. Moreover, shifting only evaluating individual levels of bias to also incorporating structural transformations that apply an equity lens in all medical practices, policies, and organizational performance metrics is imperative. </w:t>
      </w:r>
    </w:p>
    <w:p w14:paraId="2CC137E5"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Address data challenges. Without improvements in data collection at all levels of government, it is difficult to know where virus “hot-spots” are occurring, and where testing and other resources need to be focused. H.R. 6585, the “Equitable Data Collection and Disclosure on COVID-19 Act of 2020,” which would require the Health and Human Services Department to collect and report racial, ethnic, and other demographic data on COVID-19 testing, treatment, and fatality rates. </w:t>
      </w:r>
    </w:p>
    <w:p w14:paraId="0B8A23DC"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Address SDOH. Social risk factors, such as lack of access to health care, nutritious food, affordable housing, and accessible transportation, must be addressed beyond just the parameters of the pandemic. H.R. 4004, the “Social Determinants of Health Accelerator Act,” which is aimed at providing local communities with the funding and planning tools to implement solutions to the SDOH. </w:t>
      </w:r>
    </w:p>
    <w:p w14:paraId="4D8E7654"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Invest in professional diversity. There is a need to expand the pipeline of racially and ethnically diverse, practicing physicians. This need extends to medical school, residency, and physicians in teaching and academic settings. </w:t>
      </w:r>
    </w:p>
    <w:p w14:paraId="6D5E5253" w14:textId="77777777" w:rsidR="004A2E32" w:rsidRPr="00A246F5" w:rsidRDefault="004A2E32" w:rsidP="004A2E32">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It will take all of us working in partnership to build and continue on a path forward to address not only the specific health disparities that the COVID-19 pandemic has revealed, but also the underlying structural and institutional racism and SDOH and to advance health equity. </w:t>
      </w:r>
    </w:p>
    <w:p w14:paraId="7FFDEC9A" w14:textId="77777777" w:rsidR="0086021C" w:rsidRDefault="00BE07D3"/>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9DF"/>
    <w:multiLevelType w:val="multilevel"/>
    <w:tmpl w:val="FE6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2551D8"/>
    <w:multiLevelType w:val="multilevel"/>
    <w:tmpl w:val="2BD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32"/>
    <w:rsid w:val="004A2E32"/>
    <w:rsid w:val="00545BE5"/>
    <w:rsid w:val="005A23D7"/>
    <w:rsid w:val="005F1393"/>
    <w:rsid w:val="00684FC0"/>
    <w:rsid w:val="00BE07D3"/>
    <w:rsid w:val="00C4359C"/>
    <w:rsid w:val="00C5748C"/>
    <w:rsid w:val="00DC5102"/>
    <w:rsid w:val="00FD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4</cp:revision>
  <dcterms:created xsi:type="dcterms:W3CDTF">2022-03-07T22:14:00Z</dcterms:created>
  <dcterms:modified xsi:type="dcterms:W3CDTF">2022-04-05T22:49:00Z</dcterms:modified>
</cp:coreProperties>
</file>